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Cs/>
          <w:i/>
          <w:sz w:val="28"/>
          <w:szCs w:val="88"/>
        </w:rPr>
      </w:pPr>
      <w:bookmarkStart w:id="0" w:name="_GoBack"/>
      <w:bookmarkEnd w:id="0"/>
      <w:r>
        <w:rPr>
          <w:rFonts w:cstheme="minorHAnsi"/>
          <w:bCs/>
          <w:i/>
          <w:sz w:val="28"/>
          <w:szCs w:val="88"/>
        </w:rPr>
        <w:t>Київський національний університет імені Тараса Шевченка</w:t>
      </w: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Cs/>
          <w:i/>
          <w:sz w:val="28"/>
          <w:szCs w:val="88"/>
        </w:rPr>
      </w:pPr>
      <w:r>
        <w:rPr>
          <w:rFonts w:cstheme="minorHAnsi"/>
          <w:bCs/>
          <w:i/>
          <w:sz w:val="28"/>
          <w:szCs w:val="88"/>
        </w:rPr>
        <w:t>Радіофізичний факультет</w:t>
      </w: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</w:rPr>
      </w:pP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</w:rPr>
      </w:pP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/>
          <w:bCs/>
          <w:szCs w:val="88"/>
        </w:rPr>
      </w:pP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  <w:r>
        <w:rPr>
          <w:rFonts w:cstheme="minorHAnsi"/>
          <w:b/>
          <w:bCs/>
          <w:sz w:val="88"/>
          <w:szCs w:val="88"/>
        </w:rPr>
        <w:t>Звіт</w:t>
      </w: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b/>
          <w:bCs/>
          <w:sz w:val="88"/>
          <w:szCs w:val="88"/>
        </w:rPr>
      </w:pPr>
    </w:p>
    <w:p w:rsidR="008C6EF8" w:rsidRP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sz w:val="28"/>
          <w:szCs w:val="28"/>
          <w:lang w:val="ru-RU"/>
        </w:rPr>
      </w:pPr>
      <w:r>
        <w:rPr>
          <w:rFonts w:cstheme="minorHAnsi"/>
          <w:sz w:val="28"/>
          <w:szCs w:val="28"/>
        </w:rPr>
        <w:t>до лабораторної роботи №</w:t>
      </w:r>
      <w:r w:rsidRPr="008C6EF8">
        <w:rPr>
          <w:rFonts w:cstheme="minorHAnsi"/>
          <w:sz w:val="28"/>
          <w:szCs w:val="28"/>
          <w:lang w:val="ru-RU"/>
        </w:rPr>
        <w:t>6</w:t>
      </w:r>
    </w:p>
    <w:p w:rsidR="008C6EF8" w:rsidRDefault="008C6EF8" w:rsidP="008C6EF8">
      <w:pPr>
        <w:autoSpaceDE w:val="0"/>
        <w:autoSpaceDN w:val="0"/>
        <w:adjustRightInd w:val="0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з курсу “Напівпровідникова електроніка”</w:t>
      </w:r>
    </w:p>
    <w:p w:rsidR="008C6EF8" w:rsidRDefault="008C6EF8" w:rsidP="008C6EF8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</w:p>
    <w:p w:rsidR="008C6EF8" w:rsidRDefault="008C6EF8" w:rsidP="008C6EF8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</w:p>
    <w:p w:rsidR="008C6EF8" w:rsidRDefault="008C6EF8" w:rsidP="008C6EF8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студента ІІІ-го курсу</w:t>
      </w:r>
    </w:p>
    <w:p w:rsidR="008C6EF8" w:rsidRDefault="008C6EF8" w:rsidP="008C6EF8">
      <w:pPr>
        <w:autoSpaceDE w:val="0"/>
        <w:autoSpaceDN w:val="0"/>
        <w:adjustRightInd w:val="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Кафедра:</w:t>
      </w:r>
      <w:r w:rsidRPr="00703892">
        <w:rPr>
          <w:color w:val="000000" w:themeColor="text1"/>
          <w:sz w:val="18"/>
          <w:szCs w:val="28"/>
        </w:rPr>
        <w:t xml:space="preserve"> </w:t>
      </w:r>
      <w:proofErr w:type="spellStart"/>
      <w:r w:rsidRPr="00703892">
        <w:rPr>
          <w:color w:val="000000" w:themeColor="text1"/>
          <w:sz w:val="28"/>
          <w:szCs w:val="42"/>
          <w:shd w:val="clear" w:color="auto" w:fill="FFFFFF"/>
        </w:rPr>
        <w:t>нанофізики</w:t>
      </w:r>
      <w:proofErr w:type="spellEnd"/>
      <w:r w:rsidRPr="00703892">
        <w:rPr>
          <w:color w:val="000000" w:themeColor="text1"/>
          <w:sz w:val="28"/>
          <w:szCs w:val="42"/>
          <w:shd w:val="clear" w:color="auto" w:fill="FFFFFF"/>
        </w:rPr>
        <w:t xml:space="preserve"> та </w:t>
      </w:r>
      <w:proofErr w:type="spellStart"/>
      <w:r w:rsidRPr="00703892">
        <w:rPr>
          <w:color w:val="000000" w:themeColor="text1"/>
          <w:sz w:val="28"/>
          <w:szCs w:val="42"/>
          <w:shd w:val="clear" w:color="auto" w:fill="FFFFFF"/>
        </w:rPr>
        <w:t>наноелектронніки</w:t>
      </w:r>
      <w:proofErr w:type="spellEnd"/>
    </w:p>
    <w:p w:rsidR="008C6EF8" w:rsidRDefault="008C6EF8" w:rsidP="008C6EF8">
      <w:pPr>
        <w:jc w:val="right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Кухельного</w:t>
      </w:r>
      <w:proofErr w:type="spellEnd"/>
      <w:r>
        <w:rPr>
          <w:rFonts w:cstheme="minorHAnsi"/>
          <w:sz w:val="28"/>
          <w:szCs w:val="28"/>
        </w:rPr>
        <w:t xml:space="preserve"> Кирила</w:t>
      </w:r>
    </w:p>
    <w:p w:rsidR="008C6EF8" w:rsidRDefault="008C6EF8" w:rsidP="008C6EF8">
      <w:pPr>
        <w:jc w:val="right"/>
        <w:rPr>
          <w:rFonts w:cstheme="minorHAnsi"/>
          <w:sz w:val="28"/>
          <w:szCs w:val="28"/>
        </w:rPr>
      </w:pPr>
    </w:p>
    <w:p w:rsidR="008C6EF8" w:rsidRDefault="008C6EF8" w:rsidP="008C6EF8">
      <w:pPr>
        <w:jc w:val="center"/>
        <w:rPr>
          <w:rFonts w:cstheme="minorHAnsi"/>
          <w:sz w:val="28"/>
          <w:szCs w:val="28"/>
        </w:rPr>
      </w:pPr>
    </w:p>
    <w:p w:rsidR="008C6EF8" w:rsidRDefault="008C6EF8" w:rsidP="008C6EF8">
      <w:pPr>
        <w:jc w:val="center"/>
        <w:rPr>
          <w:rFonts w:cstheme="minorHAnsi"/>
          <w:sz w:val="28"/>
          <w:szCs w:val="28"/>
        </w:rPr>
      </w:pPr>
    </w:p>
    <w:p w:rsidR="008C6EF8" w:rsidRDefault="008C6EF8" w:rsidP="008C6EF8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201</w:t>
      </w:r>
      <w:r w:rsidRPr="00B028E0">
        <w:rPr>
          <w:rFonts w:cstheme="minorHAnsi"/>
          <w:sz w:val="28"/>
          <w:szCs w:val="28"/>
        </w:rPr>
        <w:t>5</w:t>
      </w:r>
      <w:r>
        <w:rPr>
          <w:rFonts w:cstheme="minorHAnsi"/>
          <w:sz w:val="28"/>
          <w:szCs w:val="28"/>
        </w:rPr>
        <w:t xml:space="preserve"> р.</w:t>
      </w:r>
    </w:p>
    <w:p w:rsidR="008C6EF8" w:rsidRPr="00C54E6E" w:rsidRDefault="008C6EF8" w:rsidP="00C54E6E">
      <w:pPr>
        <w:jc w:val="center"/>
        <w:rPr>
          <w:rFonts w:ascii="Times New Roman" w:hAnsi="Times New Roman" w:cs="Times New Roman"/>
          <w:b/>
          <w:sz w:val="28"/>
        </w:rPr>
      </w:pPr>
      <w:r w:rsidRPr="00B028E0">
        <w:rPr>
          <w:rFonts w:ascii="Times New Roman" w:hAnsi="Times New Roman" w:cs="Times New Roman"/>
          <w:b/>
          <w:sz w:val="28"/>
        </w:rPr>
        <w:lastRenderedPageBreak/>
        <w:t>Короткі теоретичн</w:t>
      </w:r>
      <w:r w:rsidR="00C54E6E" w:rsidRPr="00B028E0">
        <w:rPr>
          <w:rFonts w:ascii="Times New Roman" w:hAnsi="Times New Roman" w:cs="Times New Roman"/>
          <w:b/>
          <w:sz w:val="28"/>
        </w:rPr>
        <w:t>і</w:t>
      </w:r>
      <w:r w:rsidRPr="00B028E0">
        <w:rPr>
          <w:rFonts w:ascii="Times New Roman" w:hAnsi="Times New Roman" w:cs="Times New Roman"/>
          <w:b/>
          <w:sz w:val="28"/>
        </w:rPr>
        <w:t xml:space="preserve"> в</w:t>
      </w:r>
      <w:r w:rsidR="00C54E6E" w:rsidRPr="00B028E0">
        <w:rPr>
          <w:rFonts w:ascii="Times New Roman" w:hAnsi="Times New Roman" w:cs="Times New Roman"/>
          <w:b/>
          <w:sz w:val="28"/>
        </w:rPr>
        <w:t>і</w:t>
      </w:r>
      <w:r w:rsidRPr="00B028E0">
        <w:rPr>
          <w:rFonts w:ascii="Times New Roman" w:hAnsi="Times New Roman" w:cs="Times New Roman"/>
          <w:b/>
          <w:sz w:val="28"/>
        </w:rPr>
        <w:t>домост</w:t>
      </w:r>
      <w:r w:rsidRPr="00C54E6E">
        <w:rPr>
          <w:rFonts w:ascii="Times New Roman" w:hAnsi="Times New Roman" w:cs="Times New Roman"/>
          <w:b/>
          <w:sz w:val="28"/>
        </w:rPr>
        <w:t>і</w:t>
      </w:r>
    </w:p>
    <w:p w:rsidR="00C54E6E" w:rsidRPr="00C54E6E" w:rsidRDefault="00C54E6E" w:rsidP="00C54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E6E">
        <w:rPr>
          <w:rFonts w:ascii="Times New Roman" w:hAnsi="Times New Roman" w:cs="Times New Roman"/>
          <w:sz w:val="28"/>
          <w:szCs w:val="28"/>
        </w:rPr>
        <w:t>При освітленні однієї з поверхонь напівпровідникового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зразка світлом, яке досить сильно поглинається, вздовж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напрямку розповсюдження світла виникає градієнт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 xml:space="preserve">концентрації і відбувається дифузія </w:t>
      </w:r>
      <w:proofErr w:type="spellStart"/>
      <w:r w:rsidRPr="00C54E6E">
        <w:rPr>
          <w:rFonts w:ascii="Times New Roman" w:hAnsi="Times New Roman" w:cs="Times New Roman"/>
          <w:sz w:val="28"/>
          <w:szCs w:val="28"/>
        </w:rPr>
        <w:t>нерівноважних</w:t>
      </w:r>
      <w:proofErr w:type="spellEnd"/>
      <w:r w:rsidRPr="00C54E6E">
        <w:rPr>
          <w:rFonts w:ascii="Times New Roman" w:hAnsi="Times New Roman" w:cs="Times New Roman"/>
          <w:sz w:val="28"/>
          <w:szCs w:val="28"/>
        </w:rPr>
        <w:t xml:space="preserve"> носіїв від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E6E" w:rsidRPr="00C54E6E" w:rsidRDefault="00C54E6E" w:rsidP="00C54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E6E">
        <w:rPr>
          <w:rFonts w:ascii="Times New Roman" w:hAnsi="Times New Roman" w:cs="Times New Roman"/>
          <w:sz w:val="28"/>
          <w:szCs w:val="28"/>
        </w:rPr>
        <w:t>освітленої поверхні в глибину зразка. Якщо такий зразок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помістити в перпендикулярне до напрямку розповсюдження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 xml:space="preserve">світла магнітне поле </w:t>
      </w:r>
      <w:r w:rsidRPr="00C54E6E">
        <w:rPr>
          <w:rFonts w:ascii="Times New Roman" w:hAnsi="Times New Roman" w:cs="Times New Roman"/>
          <w:i/>
          <w:iCs/>
          <w:sz w:val="28"/>
          <w:szCs w:val="28"/>
        </w:rPr>
        <w:t xml:space="preserve">H </w:t>
      </w:r>
      <w:r w:rsidRPr="00C54E6E">
        <w:rPr>
          <w:rFonts w:ascii="Times New Roman" w:hAnsi="Times New Roman" w:cs="Times New Roman"/>
          <w:sz w:val="28"/>
          <w:szCs w:val="28"/>
        </w:rPr>
        <w:t>, то внаслідок дії сили Лоренца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електрони та дірки, які дифундували, відхиляться до різних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боків зразка (рис. 6.1). Це призводить до того, що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протилежних боках зразка накопичуються заряди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протилежного знаку, внаслідок чого, у напрямку,</w:t>
      </w:r>
    </w:p>
    <w:p w:rsidR="008C6EF8" w:rsidRPr="00C54E6E" w:rsidRDefault="00C54E6E" w:rsidP="00C54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E6E">
        <w:rPr>
          <w:rFonts w:ascii="Times New Roman" w:hAnsi="Times New Roman" w:cs="Times New Roman"/>
          <w:sz w:val="28"/>
          <w:szCs w:val="28"/>
        </w:rPr>
        <w:t>перпендикулярному до напрямку розповсюдження світла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магнітного поля виникає електрорушійна сила. Накопичення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зарядів і збільшення ЕРС буде відбуватися доти, доки струм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 xml:space="preserve">провідності який виникає за рахунок ЕРС, не </w:t>
      </w:r>
      <w:proofErr w:type="spellStart"/>
      <w:r w:rsidRPr="00C54E6E">
        <w:rPr>
          <w:rFonts w:ascii="Times New Roman" w:hAnsi="Times New Roman" w:cs="Times New Roman"/>
          <w:sz w:val="28"/>
          <w:szCs w:val="28"/>
        </w:rPr>
        <w:t>скомпенсує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4E6E">
        <w:rPr>
          <w:rFonts w:ascii="Times New Roman" w:hAnsi="Times New Roman" w:cs="Times New Roman"/>
          <w:sz w:val="28"/>
          <w:szCs w:val="28"/>
        </w:rPr>
        <w:t>магнітодифузійний</w:t>
      </w:r>
      <w:proofErr w:type="spellEnd"/>
      <w:r w:rsidRPr="00C54E6E">
        <w:rPr>
          <w:rFonts w:ascii="Times New Roman" w:hAnsi="Times New Roman" w:cs="Times New Roman"/>
          <w:sz w:val="28"/>
          <w:szCs w:val="28"/>
        </w:rPr>
        <w:t xml:space="preserve"> струм. Розглянемо різні випадки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E6E">
        <w:rPr>
          <w:rFonts w:ascii="Times New Roman" w:hAnsi="Times New Roman" w:cs="Times New Roman"/>
          <w:sz w:val="28"/>
          <w:szCs w:val="28"/>
        </w:rPr>
        <w:t>спостереження фотомагнітної ЕРС.</w:t>
      </w:r>
    </w:p>
    <w:p w:rsidR="00C54E6E" w:rsidRDefault="00C54E6E" w:rsidP="00C54E6E">
      <w:pPr>
        <w:rPr>
          <w:lang w:val="ru-RU"/>
        </w:rPr>
      </w:pPr>
      <w:r>
        <w:rPr>
          <w:noProof/>
          <w:lang w:eastAsia="uk-UA"/>
        </w:rPr>
        <w:drawing>
          <wp:inline distT="0" distB="0" distL="0" distR="0" wp14:anchorId="17960401" wp14:editId="1B6E8463">
            <wp:extent cx="6120765" cy="436548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65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EF8" w:rsidRDefault="008C6EF8">
      <w:pPr>
        <w:rPr>
          <w:lang w:val="ru-RU"/>
        </w:rPr>
      </w:pPr>
    </w:p>
    <w:p w:rsidR="008C6EF8" w:rsidRPr="00E37A99" w:rsidRDefault="008C6EF8">
      <w:pPr>
        <w:rPr>
          <w:b/>
          <w:lang w:val="ru-RU"/>
        </w:rPr>
      </w:pPr>
    </w:p>
    <w:p w:rsidR="008C6EF8" w:rsidRPr="00E37A99" w:rsidRDefault="00C54E6E" w:rsidP="00C54E6E">
      <w:pPr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E37A99">
        <w:rPr>
          <w:rFonts w:ascii="Times New Roman" w:hAnsi="Times New Roman" w:cs="Times New Roman"/>
          <w:b/>
          <w:sz w:val="28"/>
          <w:lang w:val="ru-RU"/>
        </w:rPr>
        <w:t>Хід</w:t>
      </w:r>
      <w:proofErr w:type="spellEnd"/>
      <w:r w:rsidRPr="00E37A99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E37A99">
        <w:rPr>
          <w:rFonts w:ascii="Times New Roman" w:hAnsi="Times New Roman" w:cs="Times New Roman"/>
          <w:b/>
          <w:sz w:val="28"/>
          <w:lang w:val="ru-RU"/>
        </w:rPr>
        <w:t>роботи</w:t>
      </w:r>
      <w:proofErr w:type="spellEnd"/>
    </w:p>
    <w:p w:rsidR="00D018F1" w:rsidRPr="00D018F1" w:rsidRDefault="00D018F1" w:rsidP="00D018F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30"/>
          <w:szCs w:val="30"/>
        </w:rPr>
      </w:pPr>
      <w:r w:rsidRPr="00D018F1">
        <w:rPr>
          <w:rFonts w:ascii="Bookman Old Style" w:hAnsi="Bookman Old Style" w:cs="Bookman Old Style"/>
          <w:sz w:val="30"/>
          <w:szCs w:val="30"/>
        </w:rPr>
        <w:t>Була знята залежність фотопровідності від інтенсивності</w:t>
      </w:r>
    </w:p>
    <w:p w:rsidR="00D018F1" w:rsidRDefault="00D018F1" w:rsidP="00D018F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30"/>
          <w:szCs w:val="30"/>
        </w:rPr>
      </w:pPr>
      <w:r>
        <w:rPr>
          <w:rFonts w:ascii="Bookman Old Style" w:hAnsi="Bookman Old Style" w:cs="Bookman Old Style"/>
          <w:sz w:val="30"/>
          <w:szCs w:val="30"/>
        </w:rPr>
        <w:t>Світла , та побудований графік.</w:t>
      </w:r>
      <w:r>
        <w:rPr>
          <w:rFonts w:ascii="Bookman Old Style" w:hAnsi="Bookman Old Style" w:cs="Bookman Old Style"/>
          <w:sz w:val="30"/>
          <w:szCs w:val="30"/>
        </w:rPr>
        <w:br/>
        <w:t>Також було при включеному магніті та виключеному зміщенні</w:t>
      </w:r>
    </w:p>
    <w:p w:rsidR="00D018F1" w:rsidRDefault="00D018F1" w:rsidP="00D018F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30"/>
          <w:szCs w:val="30"/>
        </w:rPr>
      </w:pPr>
      <w:r>
        <w:rPr>
          <w:rFonts w:ascii="Bookman Old Style" w:hAnsi="Bookman Old Style" w:cs="Bookman Old Style"/>
          <w:sz w:val="30"/>
          <w:szCs w:val="30"/>
        </w:rPr>
        <w:t>на зразку знято залежність фотомагнітної ЕРС від</w:t>
      </w:r>
    </w:p>
    <w:p w:rsidR="008C6EF8" w:rsidRDefault="00D018F1" w:rsidP="00D018F1">
      <w:pPr>
        <w:rPr>
          <w:lang w:val="ru-RU"/>
        </w:rPr>
      </w:pPr>
      <w:r>
        <w:rPr>
          <w:rFonts w:ascii="Bookman Old Style" w:hAnsi="Bookman Old Style" w:cs="Bookman Old Style"/>
          <w:sz w:val="30"/>
          <w:szCs w:val="30"/>
        </w:rPr>
        <w:lastRenderedPageBreak/>
        <w:t>інтенсивності світла,а також побудовано графік.</w:t>
      </w:r>
    </w:p>
    <w:tbl>
      <w:tblPr>
        <w:tblW w:w="8040" w:type="dxa"/>
        <w:tblInd w:w="93" w:type="dxa"/>
        <w:tblLook w:val="04A0" w:firstRow="1" w:lastRow="0" w:firstColumn="1" w:lastColumn="0" w:noHBand="0" w:noVBand="1"/>
      </w:tblPr>
      <w:tblGrid>
        <w:gridCol w:w="2420"/>
        <w:gridCol w:w="960"/>
        <w:gridCol w:w="960"/>
        <w:gridCol w:w="2740"/>
        <w:gridCol w:w="960"/>
      </w:tblGrid>
      <w:tr w:rsidR="008C6EF8" w:rsidRPr="008C6EF8" w:rsidTr="008C6EF8">
        <w:trPr>
          <w:trHeight w:val="52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uk-UA"/>
              </w:rPr>
              <w:t>З Зміщенням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uk-UA"/>
              </w:rPr>
              <w:t>Без Зміщення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</w:tr>
      <w:tr w:rsidR="008C6EF8" w:rsidRPr="008C6EF8" w:rsidTr="008C6EF8">
        <w:trPr>
          <w:trHeight w:val="37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uk-UA"/>
              </w:rPr>
              <w:t>відсотки фільтра,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U, </w:t>
            </w:r>
            <w:proofErr w:type="spellStart"/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uk-UA"/>
              </w:rPr>
              <w:t>mV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uk-UA"/>
              </w:rPr>
              <w:t>відсотки фільтра,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U, </w:t>
            </w:r>
            <w:proofErr w:type="spellStart"/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uk-UA"/>
              </w:rPr>
              <w:t>mV</w:t>
            </w:r>
            <w:proofErr w:type="spellEnd"/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3,2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2,75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2,65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2,45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2,4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2,3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2,2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2,1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1,8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1,55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1,35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1,15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0,9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0,65</w:t>
            </w:r>
          </w:p>
        </w:tc>
      </w:tr>
      <w:tr w:rsidR="008C6EF8" w:rsidRPr="008C6EF8" w:rsidTr="008C6EF8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EF8" w:rsidRPr="008C6EF8" w:rsidRDefault="008C6EF8" w:rsidP="008C6E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</w:pPr>
            <w:r w:rsidRPr="008C6EF8">
              <w:rPr>
                <w:rFonts w:ascii="Calibri" w:eastAsia="Times New Roman" w:hAnsi="Calibri" w:cs="Times New Roman"/>
                <w:b/>
                <w:bCs/>
                <w:color w:val="000000"/>
                <w:lang w:eastAsia="uk-UA"/>
              </w:rPr>
              <w:t>0,4</w:t>
            </w:r>
          </w:p>
        </w:tc>
      </w:tr>
    </w:tbl>
    <w:p w:rsidR="00A66CB8" w:rsidRDefault="00A66CB8">
      <w:pPr>
        <w:rPr>
          <w:lang w:val="en-US"/>
        </w:rPr>
      </w:pPr>
    </w:p>
    <w:p w:rsidR="008C6EF8" w:rsidRDefault="008C6EF8">
      <w:r w:rsidRPr="00D018F1">
        <w:rPr>
          <w:noProof/>
          <w:color w:val="365F91" w:themeColor="accent1" w:themeShade="BF"/>
          <w:lang w:eastAsia="uk-UA"/>
        </w:rPr>
        <w:drawing>
          <wp:inline distT="0" distB="0" distL="0" distR="0" wp14:anchorId="1574EF62" wp14:editId="421042BE">
            <wp:extent cx="6120765" cy="3867135"/>
            <wp:effectExtent l="0" t="0" r="13335" b="1968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018F1" w:rsidRDefault="006F114D" w:rsidP="006F114D">
      <w:pPr>
        <w:pStyle w:val="a6"/>
      </w:pPr>
      <w:r w:rsidRPr="006F114D">
        <w:t>Струм фотопровідності = 0,9 А</w:t>
      </w:r>
    </w:p>
    <w:p w:rsidR="006F114D" w:rsidRPr="006F114D" w:rsidRDefault="006F114D" w:rsidP="006F114D"/>
    <w:sectPr w:rsidR="006F114D" w:rsidRPr="006F11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A1AAC"/>
    <w:multiLevelType w:val="hybridMultilevel"/>
    <w:tmpl w:val="B3CE81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E0A67"/>
    <w:multiLevelType w:val="hybridMultilevel"/>
    <w:tmpl w:val="7B62D1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4E9"/>
    <w:rsid w:val="00617077"/>
    <w:rsid w:val="006F114D"/>
    <w:rsid w:val="007104E9"/>
    <w:rsid w:val="008C6EF8"/>
    <w:rsid w:val="00A66CB8"/>
    <w:rsid w:val="00B028E0"/>
    <w:rsid w:val="00C54E6E"/>
    <w:rsid w:val="00D018F1"/>
    <w:rsid w:val="00E3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E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4E6E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6F11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6F11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E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4E6E"/>
    <w:pPr>
      <w:ind w:left="720"/>
      <w:contextualSpacing/>
    </w:pPr>
  </w:style>
  <w:style w:type="paragraph" w:styleId="a6">
    <w:name w:val="Title"/>
    <w:basedOn w:val="a"/>
    <w:next w:val="a"/>
    <w:link w:val="a7"/>
    <w:uiPriority w:val="10"/>
    <w:qFormat/>
    <w:rsid w:val="006F11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6F11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7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53;&#1059;\7%20&#1089;&#1077;&#1084;&#1077;&#1089;&#1090;&#1088;\&#1053;&#1072;&#1087;&#1110;&#1074;&#1087;&#1088;&#1086;&#1074;&#1110;&#1076;&#1085;&#1080;&#1082;&#1086;&#1074;&#1072;%20&#1077;&#1083;&#1077;&#1082;&#1090;&#1088;&#1086;&#1085;&#1110;&#1082;&#1072;\&#1060;&#1086;&#1090;&#1086;&#1084;&#1072;&#1075;&#1085;&#1099;&#1090;&#1085;&#1080;&#1081;%20&#1077;&#1092;&#1077;&#1082;&#1090;%20&#1083;&#1072;&#1073;&#1072;%206\&#1083;&#1072;&#1073;&#1072;%20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42203252630804E-2"/>
          <c:y val="4.9584393361537943E-2"/>
          <c:w val="0.75140302377457058"/>
          <c:h val="0.88867075218369063"/>
        </c:manualLayout>
      </c:layout>
      <c:scatterChart>
        <c:scatterStyle val="smoothMarker"/>
        <c:varyColors val="0"/>
        <c:ser>
          <c:idx val="0"/>
          <c:order val="0"/>
          <c:trendline>
            <c:trendlineType val="linear"/>
            <c:dispRSqr val="0"/>
            <c:dispEq val="1"/>
            <c:trendlineLbl>
              <c:layout>
                <c:manualLayout>
                  <c:x val="2.8326687159670919E-2"/>
                  <c:y val="0.23065228915351099"/>
                </c:manualLayout>
              </c:layout>
              <c:numFmt formatCode="General" sourceLinked="0"/>
            </c:trendlineLbl>
          </c:trendline>
          <c:xVal>
            <c:numRef>
              <c:f>Лист1!$B$3:$B$19</c:f>
              <c:numCache>
                <c:formatCode>General</c:formatCode>
                <c:ptCount val="17"/>
                <c:pt idx="0">
                  <c:v>100</c:v>
                </c:pt>
                <c:pt idx="1">
                  <c:v>85</c:v>
                </c:pt>
                <c:pt idx="2">
                  <c:v>80</c:v>
                </c:pt>
                <c:pt idx="3">
                  <c:v>70</c:v>
                </c:pt>
                <c:pt idx="4">
                  <c:v>65</c:v>
                </c:pt>
                <c:pt idx="5">
                  <c:v>60</c:v>
                </c:pt>
                <c:pt idx="6">
                  <c:v>55</c:v>
                </c:pt>
                <c:pt idx="7">
                  <c:v>50</c:v>
                </c:pt>
                <c:pt idx="8">
                  <c:v>45</c:v>
                </c:pt>
                <c:pt idx="9">
                  <c:v>40</c:v>
                </c:pt>
                <c:pt idx="10">
                  <c:v>35</c:v>
                </c:pt>
                <c:pt idx="11">
                  <c:v>30</c:v>
                </c:pt>
                <c:pt idx="12">
                  <c:v>25</c:v>
                </c:pt>
                <c:pt idx="13">
                  <c:v>20</c:v>
                </c:pt>
                <c:pt idx="14">
                  <c:v>15</c:v>
                </c:pt>
                <c:pt idx="15">
                  <c:v>10</c:v>
                </c:pt>
                <c:pt idx="16">
                  <c:v>5</c:v>
                </c:pt>
              </c:numCache>
            </c:numRef>
          </c:xVal>
          <c:yVal>
            <c:numRef>
              <c:f>Лист1!$C$3:$C$19</c:f>
              <c:numCache>
                <c:formatCode>General</c:formatCode>
                <c:ptCount val="17"/>
                <c:pt idx="0">
                  <c:v>3</c:v>
                </c:pt>
                <c:pt idx="1">
                  <c:v>2.87</c:v>
                </c:pt>
                <c:pt idx="2">
                  <c:v>2.8</c:v>
                </c:pt>
                <c:pt idx="3">
                  <c:v>2.5499999999999998</c:v>
                </c:pt>
                <c:pt idx="4">
                  <c:v>2.5</c:v>
                </c:pt>
                <c:pt idx="5">
                  <c:v>2.4</c:v>
                </c:pt>
                <c:pt idx="6">
                  <c:v>2.25</c:v>
                </c:pt>
                <c:pt idx="7">
                  <c:v>2.12</c:v>
                </c:pt>
                <c:pt idx="8">
                  <c:v>2</c:v>
                </c:pt>
                <c:pt idx="9">
                  <c:v>1.85</c:v>
                </c:pt>
                <c:pt idx="10">
                  <c:v>1.7</c:v>
                </c:pt>
                <c:pt idx="11">
                  <c:v>1.58</c:v>
                </c:pt>
                <c:pt idx="12">
                  <c:v>1.4</c:v>
                </c:pt>
                <c:pt idx="13">
                  <c:v>1.2</c:v>
                </c:pt>
                <c:pt idx="14">
                  <c:v>0.95</c:v>
                </c:pt>
                <c:pt idx="15">
                  <c:v>0.65</c:v>
                </c:pt>
                <c:pt idx="16">
                  <c:v>0.25</c:v>
                </c:pt>
              </c:numCache>
            </c:numRef>
          </c:yVal>
          <c:smooth val="1"/>
        </c:ser>
        <c:ser>
          <c:idx val="1"/>
          <c:order val="1"/>
          <c:trendline>
            <c:trendlineType val="linear"/>
            <c:dispRSqr val="0"/>
            <c:dispEq val="1"/>
            <c:trendlineLbl>
              <c:layout>
                <c:manualLayout>
                  <c:x val="2.8472116463708362E-2"/>
                  <c:y val="0.31575734067724293"/>
                </c:manualLayout>
              </c:layout>
              <c:numFmt formatCode="General" sourceLinked="0"/>
            </c:trendlineLbl>
          </c:trendline>
          <c:xVal>
            <c:numRef>
              <c:f>Лист1!$E$3:$E$19</c:f>
              <c:numCache>
                <c:formatCode>General</c:formatCode>
                <c:ptCount val="17"/>
                <c:pt idx="0">
                  <c:v>100</c:v>
                </c:pt>
                <c:pt idx="1">
                  <c:v>85</c:v>
                </c:pt>
                <c:pt idx="2">
                  <c:v>80</c:v>
                </c:pt>
                <c:pt idx="3">
                  <c:v>70</c:v>
                </c:pt>
                <c:pt idx="4">
                  <c:v>65</c:v>
                </c:pt>
                <c:pt idx="5">
                  <c:v>60</c:v>
                </c:pt>
                <c:pt idx="6">
                  <c:v>55</c:v>
                </c:pt>
                <c:pt idx="7">
                  <c:v>50</c:v>
                </c:pt>
                <c:pt idx="8">
                  <c:v>45</c:v>
                </c:pt>
                <c:pt idx="9">
                  <c:v>40</c:v>
                </c:pt>
                <c:pt idx="10">
                  <c:v>35</c:v>
                </c:pt>
                <c:pt idx="11">
                  <c:v>30</c:v>
                </c:pt>
                <c:pt idx="12">
                  <c:v>25</c:v>
                </c:pt>
                <c:pt idx="13">
                  <c:v>20</c:v>
                </c:pt>
                <c:pt idx="14">
                  <c:v>15</c:v>
                </c:pt>
                <c:pt idx="15">
                  <c:v>10</c:v>
                </c:pt>
                <c:pt idx="16">
                  <c:v>5</c:v>
                </c:pt>
              </c:numCache>
            </c:numRef>
          </c:xVal>
          <c:yVal>
            <c:numRef>
              <c:f>Лист1!$F$3:$F$19</c:f>
              <c:numCache>
                <c:formatCode>General</c:formatCode>
                <c:ptCount val="17"/>
                <c:pt idx="0">
                  <c:v>3.2</c:v>
                </c:pt>
                <c:pt idx="1">
                  <c:v>2.75</c:v>
                </c:pt>
                <c:pt idx="2">
                  <c:v>2.65</c:v>
                </c:pt>
                <c:pt idx="3">
                  <c:v>2.4500000000000002</c:v>
                </c:pt>
                <c:pt idx="4">
                  <c:v>2.4</c:v>
                </c:pt>
                <c:pt idx="5">
                  <c:v>2.2999999999999998</c:v>
                </c:pt>
                <c:pt idx="6">
                  <c:v>2.2000000000000002</c:v>
                </c:pt>
                <c:pt idx="7">
                  <c:v>2.1</c:v>
                </c:pt>
                <c:pt idx="8">
                  <c:v>2</c:v>
                </c:pt>
                <c:pt idx="9">
                  <c:v>1.8</c:v>
                </c:pt>
                <c:pt idx="10">
                  <c:v>1.5</c:v>
                </c:pt>
                <c:pt idx="11">
                  <c:v>1.55</c:v>
                </c:pt>
                <c:pt idx="12">
                  <c:v>1.35</c:v>
                </c:pt>
                <c:pt idx="13">
                  <c:v>1.1499999999999999</c:v>
                </c:pt>
                <c:pt idx="14">
                  <c:v>0.9</c:v>
                </c:pt>
                <c:pt idx="15">
                  <c:v>0.65</c:v>
                </c:pt>
                <c:pt idx="16">
                  <c:v>0.4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1519744"/>
        <c:axId val="231521280"/>
      </c:scatterChart>
      <c:valAx>
        <c:axId val="231519744"/>
        <c:scaling>
          <c:orientation val="minMax"/>
          <c:max val="100"/>
        </c:scaling>
        <c:delete val="0"/>
        <c:axPos val="b"/>
        <c:numFmt formatCode="General" sourceLinked="1"/>
        <c:majorTickMark val="out"/>
        <c:minorTickMark val="none"/>
        <c:tickLblPos val="nextTo"/>
        <c:crossAx val="231521280"/>
        <c:crosses val="autoZero"/>
        <c:crossBetween val="midCat"/>
        <c:majorUnit val="20"/>
      </c:valAx>
      <c:valAx>
        <c:axId val="231521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151974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3428037383177567"/>
          <c:y val="0.39908114754365692"/>
          <c:w val="0.15824299065420561"/>
          <c:h val="0.1722517553849639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D705-307E-4870-969D-7CDAA970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3</cp:revision>
  <dcterms:created xsi:type="dcterms:W3CDTF">2015-09-27T18:55:00Z</dcterms:created>
  <dcterms:modified xsi:type="dcterms:W3CDTF">2015-09-30T18:30:00Z</dcterms:modified>
</cp:coreProperties>
</file>